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CA" w:rsidRDefault="00193D44" w:rsidP="001E4BE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93D44">
        <w:rPr>
          <w:rFonts w:ascii="Times New Roman" w:hAnsi="Times New Roman" w:cs="Times New Roman"/>
          <w:b/>
          <w:sz w:val="28"/>
        </w:rPr>
        <w:t xml:space="preserve">Ответы </w:t>
      </w:r>
      <w:r w:rsidRPr="00193D44">
        <w:rPr>
          <w:rFonts w:ascii="Times New Roman" w:hAnsi="Times New Roman" w:cs="Times New Roman"/>
          <w:sz w:val="28"/>
        </w:rPr>
        <w:t>Министерства антимонопольного регулирования и торговли Республики Беларусь и Министерства информации Республики Беларусь</w:t>
      </w:r>
      <w:r w:rsidRPr="00193D44">
        <w:rPr>
          <w:rFonts w:ascii="Times New Roman" w:hAnsi="Times New Roman" w:cs="Times New Roman"/>
          <w:b/>
          <w:sz w:val="28"/>
        </w:rPr>
        <w:t xml:space="preserve"> о размещении рекламы в продукции иностранных телевизионных средствам массовой </w:t>
      </w:r>
      <w:r>
        <w:rPr>
          <w:rFonts w:ascii="Times New Roman" w:hAnsi="Times New Roman" w:cs="Times New Roman"/>
          <w:b/>
          <w:sz w:val="28"/>
        </w:rPr>
        <w:t>информации распространяемых</w:t>
      </w:r>
      <w:r w:rsidRPr="00193D44">
        <w:rPr>
          <w:rFonts w:ascii="Times New Roman" w:hAnsi="Times New Roman" w:cs="Times New Roman"/>
          <w:b/>
          <w:sz w:val="28"/>
        </w:rPr>
        <w:t xml:space="preserve"> на территории Республики Беларусь</w:t>
      </w:r>
    </w:p>
    <w:p w:rsidR="005642CD" w:rsidRDefault="005642CD" w:rsidP="00564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5812"/>
        <w:gridCol w:w="2629"/>
      </w:tblGrid>
      <w:tr w:rsidR="00193D44" w:rsidTr="00DC5EDB">
        <w:tc>
          <w:tcPr>
            <w:tcW w:w="675" w:type="dxa"/>
          </w:tcPr>
          <w:p w:rsidR="00193D44" w:rsidRPr="00673FC3" w:rsidRDefault="00193D44" w:rsidP="00193D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670" w:type="dxa"/>
          </w:tcPr>
          <w:p w:rsidR="00193D44" w:rsidRPr="00673FC3" w:rsidRDefault="00193D44" w:rsidP="00193D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t>Вопрос ТОС</w:t>
            </w:r>
          </w:p>
        </w:tc>
        <w:tc>
          <w:tcPr>
            <w:tcW w:w="5812" w:type="dxa"/>
          </w:tcPr>
          <w:p w:rsidR="00193D44" w:rsidRPr="00673FC3" w:rsidRDefault="00193D44" w:rsidP="00193D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t>Ответ регулятора</w:t>
            </w:r>
          </w:p>
        </w:tc>
        <w:tc>
          <w:tcPr>
            <w:tcW w:w="2629" w:type="dxa"/>
          </w:tcPr>
          <w:p w:rsidR="00193D44" w:rsidRDefault="00193D44" w:rsidP="00193D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193D44" w:rsidTr="00DC5EDB">
        <w:tc>
          <w:tcPr>
            <w:tcW w:w="675" w:type="dxa"/>
          </w:tcPr>
          <w:p w:rsidR="00193D44" w:rsidRPr="00673FC3" w:rsidRDefault="00193D44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670" w:type="dxa"/>
          </w:tcPr>
          <w:p w:rsidR="00193D44" w:rsidRPr="00673FC3" w:rsidRDefault="00193D44" w:rsidP="0056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Какой будет процедура вынесения решения об исключении телепрограммы  из списка разрешенных к распространению на территории Республики Беларусь.</w:t>
            </w:r>
          </w:p>
        </w:tc>
        <w:tc>
          <w:tcPr>
            <w:tcW w:w="5812" w:type="dxa"/>
          </w:tcPr>
          <w:p w:rsidR="00DC5EDB" w:rsidRPr="00673FC3" w:rsidRDefault="00DC5EDB" w:rsidP="001E4BE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На основании пункта 4</w:t>
            </w:r>
            <w:r w:rsidRPr="00673FC3">
              <w:rPr>
                <w:color w:val="000000"/>
                <w:sz w:val="28"/>
                <w:szCs w:val="28"/>
                <w:vertAlign w:val="superscript"/>
                <w:lang w:eastAsia="ru-RU" w:bidi="ru-RU"/>
              </w:rPr>
              <w:t>1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 Положения о порядке выдачи разрешения на распространение продукции иностранного средства массовой информации, утвержденного постановлением Совета Министров Республики Беларусь от 2 декабря 2008 г. № 1849, Министерство информации формирует и ведет список иностранных средств массовой информации, получивших разрешение на распространение продукции иностранного средства массовой информации на территории Республики Беларусь без изменения ее формы или содержания (далее - разрешение).</w:t>
            </w:r>
          </w:p>
          <w:p w:rsidR="00193D44" w:rsidRPr="00673FC3" w:rsidRDefault="00DC5EDB" w:rsidP="001E4BE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Иностранная телепрограмма исключается из указанного списка в случае прекращения действия разрешения (истечение срока действия разрешения; аннулирование действия свидетельства о регистрации иностранного средства массовой информации либо иного документа, подтверждающего правомочность его выпуска; принятие Министерством информации решения об аннулировании разрешения в случаях, предусмотренных законодательными актами)</w:t>
            </w:r>
            <w:r w:rsidR="001E4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</w:tc>
        <w:tc>
          <w:tcPr>
            <w:tcW w:w="2629" w:type="dxa"/>
          </w:tcPr>
          <w:p w:rsidR="00193D44" w:rsidRDefault="00DC5EDB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Мининформ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РБ</w:t>
            </w:r>
          </w:p>
        </w:tc>
      </w:tr>
      <w:tr w:rsidR="00500520" w:rsidTr="00500520">
        <w:trPr>
          <w:trHeight w:val="2655"/>
        </w:trPr>
        <w:tc>
          <w:tcPr>
            <w:tcW w:w="675" w:type="dxa"/>
          </w:tcPr>
          <w:p w:rsidR="00500520" w:rsidRPr="00673FC3" w:rsidRDefault="00500520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500520" w:rsidRPr="00673FC3" w:rsidRDefault="00500520" w:rsidP="005642C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В случае распространения одной и той же телепрограммы разными распространителями  при получении сигнала из разных источников (с рекламой в одном случае и без рекламы в остальных), на основании каких данных будет приниматься решение о запрете распространения телепрограммы.</w:t>
            </w:r>
          </w:p>
        </w:tc>
        <w:tc>
          <w:tcPr>
            <w:tcW w:w="5812" w:type="dxa"/>
            <w:vMerge w:val="restart"/>
          </w:tcPr>
          <w:p w:rsidR="00500520" w:rsidRPr="00673FC3" w:rsidRDefault="00500520" w:rsidP="001E4BE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В соответствии с частью седьмой пункта 5 статьи 17 Закона Республики Беларусь от 17 июля 2008 г. № 427-3 «О средствах массовой информации»</w:t>
            </w:r>
            <w:r w:rsidR="00E44A66"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 (далее - Закон о СМИ) одним из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оснований для принятия Министерством информации решения об аннулировании разрешения является несоответствие продукции иностранного средства массовой информации</w:t>
            </w:r>
            <w:r w:rsidR="00E44A66"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требованиям законодательных актов, в том числе законодательства о рекламе (наличие в иностранной телепрограмме рекламы).</w:t>
            </w:r>
          </w:p>
          <w:p w:rsidR="00500520" w:rsidRPr="00673FC3" w:rsidRDefault="00500520" w:rsidP="001E4BE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Для выяснения всех обстоятельств дела по факту наличия в той или иной телепрограмме рекламы будут осуществляться действия в зависимости от конкретной ситуации (запрос пояснений от распространителя, дистрибьютора теле</w:t>
            </w:r>
            <w:r w:rsidR="00E44A66" w:rsidRPr="00673FC3">
              <w:rPr>
                <w:color w:val="000000"/>
                <w:sz w:val="28"/>
                <w:szCs w:val="28"/>
                <w:lang w:eastAsia="ru-RU" w:bidi="ru-RU"/>
              </w:rPr>
              <w:t>прог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рамм и др.). При этом </w:t>
            </w:r>
            <w:r w:rsidR="00E44A66" w:rsidRPr="00673FC3">
              <w:rPr>
                <w:color w:val="000000"/>
                <w:sz w:val="28"/>
                <w:szCs w:val="28"/>
                <w:lang w:eastAsia="ru-RU" w:bidi="ru-RU"/>
              </w:rPr>
              <w:t>в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ремя доказывания необходимости сохранения разрешения, будет лежать на субъектах хозяйствования, имеющих непосредственное отношение к создавшейся ситуации.</w:t>
            </w:r>
          </w:p>
          <w:p w:rsidR="00500520" w:rsidRPr="00673FC3" w:rsidRDefault="00500520" w:rsidP="001E4BE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В случае отсутствия достаточных доказательств, подтверждающих непреднамеренное включение в состав телепрограммы рекламы, разрешение будет аннулировано.</w:t>
            </w:r>
          </w:p>
        </w:tc>
        <w:tc>
          <w:tcPr>
            <w:tcW w:w="2629" w:type="dxa"/>
            <w:vMerge w:val="restart"/>
          </w:tcPr>
          <w:p w:rsidR="00500520" w:rsidRDefault="00500520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Мининформ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РБ</w:t>
            </w:r>
          </w:p>
        </w:tc>
      </w:tr>
      <w:tr w:rsidR="00500520" w:rsidTr="001E4BED">
        <w:trPr>
          <w:trHeight w:val="6494"/>
        </w:trPr>
        <w:tc>
          <w:tcPr>
            <w:tcW w:w="675" w:type="dxa"/>
          </w:tcPr>
          <w:p w:rsidR="00500520" w:rsidRPr="00673FC3" w:rsidRDefault="00500520" w:rsidP="001E4B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670" w:type="dxa"/>
          </w:tcPr>
          <w:p w:rsidR="00500520" w:rsidRPr="00673FC3" w:rsidRDefault="00500520" w:rsidP="001E4BED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Какие меры реагирования к операторам будут предприняты при сбое программного обеспечения (</w:t>
            </w:r>
            <w:proofErr w:type="spellStart"/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DTFметки</w:t>
            </w:r>
            <w:proofErr w:type="spellEnd"/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) из-за погодных условий или иных видов технических проблем, создавших проблемы по удалению или замещению рекламных блоков.</w:t>
            </w:r>
          </w:p>
        </w:tc>
        <w:tc>
          <w:tcPr>
            <w:tcW w:w="5812" w:type="dxa"/>
            <w:vMerge/>
          </w:tcPr>
          <w:p w:rsidR="00500520" w:rsidRPr="00673FC3" w:rsidRDefault="00500520" w:rsidP="006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500520" w:rsidRDefault="00500520" w:rsidP="00193D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44A66" w:rsidTr="00DC5EDB">
        <w:tc>
          <w:tcPr>
            <w:tcW w:w="675" w:type="dxa"/>
          </w:tcPr>
          <w:p w:rsidR="00E44A66" w:rsidRPr="00673FC3" w:rsidRDefault="00673FC3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670" w:type="dxa"/>
          </w:tcPr>
          <w:p w:rsidR="00E44A66" w:rsidRPr="00673FC3" w:rsidRDefault="00E44A66" w:rsidP="005642C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Что будет считаться спонсорской рекламой.</w:t>
            </w:r>
          </w:p>
        </w:tc>
        <w:tc>
          <w:tcPr>
            <w:tcW w:w="5812" w:type="dxa"/>
            <w:vMerge w:val="restart"/>
          </w:tcPr>
          <w:p w:rsidR="00E44A66" w:rsidRPr="00673FC3" w:rsidRDefault="00E44A66" w:rsidP="005642C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Закон № 225-3 и иные акты законодательство в области рекламы не содержат понятия спонсорской рекламы и не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предусматривают особых условий ее размещения (распространения).</w:t>
            </w:r>
          </w:p>
          <w:p w:rsidR="00E44A66" w:rsidRPr="00673FC3" w:rsidRDefault="00E44A66" w:rsidP="005642C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Реклама, представленная лицами, участвующими в финансировании производства или приобретения прав на трансляцию телепередач или телепрограммы в целом, в продукции иностранного телевизионного СМИ не допускается в соответствии с частью первой пункта 8</w:t>
            </w:r>
            <w:r w:rsidRPr="00673FC3">
              <w:rPr>
                <w:color w:val="000000"/>
                <w:sz w:val="28"/>
                <w:szCs w:val="28"/>
                <w:vertAlign w:val="superscript"/>
                <w:lang w:eastAsia="ru-RU" w:bidi="ru-RU"/>
              </w:rPr>
              <w:t>1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 статьи 11 Закона № 225-3, за исключением случаев, указанных в части второй данного пункта.</w:t>
            </w:r>
          </w:p>
          <w:p w:rsidR="00E44A66" w:rsidRPr="00673FC3" w:rsidRDefault="00E44A66" w:rsidP="005642C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Так, согласно абзацу третьему части второй пункта 8</w:t>
            </w:r>
            <w:r w:rsidRPr="00673FC3">
              <w:rPr>
                <w:color w:val="000000"/>
                <w:sz w:val="28"/>
                <w:szCs w:val="28"/>
                <w:vertAlign w:val="superscript"/>
                <w:lang w:eastAsia="ru-RU" w:bidi="ru-RU"/>
              </w:rPr>
              <w:t>1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 статьи 11 Закона № 225-3 в продукции иностранного телевизионного СМИ допускается реклама, интегрированная в передачу при ее производстве и являющаяся неотъемлемой частью этой передачи (к примеру, реклама, интегрированная в оформление студии, диалоги ведущих, их одежду и т.п.).</w:t>
            </w:r>
          </w:p>
        </w:tc>
        <w:tc>
          <w:tcPr>
            <w:tcW w:w="2629" w:type="dxa"/>
            <w:vMerge w:val="restart"/>
          </w:tcPr>
          <w:p w:rsidR="00E44A66" w:rsidRDefault="00E44A66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МАРТ РБ</w:t>
            </w:r>
          </w:p>
        </w:tc>
      </w:tr>
      <w:tr w:rsidR="00E44A66" w:rsidTr="00DC5EDB">
        <w:tc>
          <w:tcPr>
            <w:tcW w:w="675" w:type="dxa"/>
          </w:tcPr>
          <w:p w:rsidR="00E44A66" w:rsidRPr="00673FC3" w:rsidRDefault="00673FC3" w:rsidP="001E4BE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670" w:type="dxa"/>
          </w:tcPr>
          <w:p w:rsidR="00E44A66" w:rsidRPr="00673FC3" w:rsidRDefault="00E44A66" w:rsidP="001E4BE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В каком виде спонсорская реклама будет разрешена.</w:t>
            </w:r>
          </w:p>
        </w:tc>
        <w:tc>
          <w:tcPr>
            <w:tcW w:w="5812" w:type="dxa"/>
            <w:vMerge/>
          </w:tcPr>
          <w:p w:rsidR="00E44A66" w:rsidRPr="00673FC3" w:rsidRDefault="00E44A66" w:rsidP="00673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vMerge/>
          </w:tcPr>
          <w:p w:rsidR="00E44A66" w:rsidRDefault="00E44A66" w:rsidP="00193D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93D44" w:rsidTr="00DC5EDB">
        <w:trPr>
          <w:trHeight w:val="750"/>
        </w:trPr>
        <w:tc>
          <w:tcPr>
            <w:tcW w:w="675" w:type="dxa"/>
          </w:tcPr>
          <w:p w:rsidR="00193D44" w:rsidRPr="00673FC3" w:rsidRDefault="00673FC3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5670" w:type="dxa"/>
          </w:tcPr>
          <w:p w:rsidR="00193D44" w:rsidRPr="00673FC3" w:rsidRDefault="00193D44" w:rsidP="0056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В каких случаях анонс будет считаться рекламой и на каких основаниях.</w:t>
            </w:r>
          </w:p>
        </w:tc>
        <w:tc>
          <w:tcPr>
            <w:tcW w:w="5812" w:type="dxa"/>
          </w:tcPr>
          <w:p w:rsidR="005642CD" w:rsidRDefault="00E44A66" w:rsidP="005642C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С вступлением в силу изменений в Закон № 225-3 подходы к регулированию анонсов передач не изменились.</w:t>
            </w:r>
          </w:p>
          <w:p w:rsidR="00E44A66" w:rsidRPr="00673FC3" w:rsidRDefault="00E44A66" w:rsidP="005642C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В силу пункта 10 статьи 11 Закона № 225-3 требования пунктов 1—9 и 11 статьи 11 Закона № 225-3 не распространяются на размещаемую в телепрограмме информацию о передачах, составляющих эту телепрограмму.</w:t>
            </w:r>
          </w:p>
          <w:p w:rsidR="00E44A66" w:rsidRPr="00673FC3" w:rsidRDefault="00E44A66" w:rsidP="005642C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Из приведенной нормы следует, что:</w:t>
            </w:r>
          </w:p>
          <w:p w:rsidR="00E44A66" w:rsidRPr="00673FC3" w:rsidRDefault="00E44A66" w:rsidP="005642C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размещаемая в телепрограмме информация о передачах, составляющих эту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телепрограмму (т.н. анонсы передач), не является рекламой, в связи с чем не подпадает под регулирование пунктов 1 - 9 и 11 статьи 11 Закона № 225-3;</w:t>
            </w:r>
          </w:p>
          <w:p w:rsidR="00193D44" w:rsidRPr="00673FC3" w:rsidRDefault="00E44A66" w:rsidP="005642C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в то же время размещаемая в телепрограмме информация о передачах, составляющих другую телепрограмму, имеет признаки рекламы, и требование пункта 10 статьи 11 Закона №225-3 на нее распространяется (т.е. такая информация подпадает под регулирование пунктов 1 - 9 и 11 статьи 11 и других норм Закона № 225-3).</w:t>
            </w:r>
          </w:p>
        </w:tc>
        <w:tc>
          <w:tcPr>
            <w:tcW w:w="2629" w:type="dxa"/>
          </w:tcPr>
          <w:p w:rsidR="00193D44" w:rsidRDefault="00E44A66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МАРТ РБ</w:t>
            </w:r>
          </w:p>
        </w:tc>
      </w:tr>
      <w:tr w:rsidR="00193D44" w:rsidTr="00DC5EDB">
        <w:tc>
          <w:tcPr>
            <w:tcW w:w="675" w:type="dxa"/>
          </w:tcPr>
          <w:p w:rsidR="00193D44" w:rsidRPr="00673FC3" w:rsidRDefault="00673FC3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193D44" w:rsidRPr="00673FC3" w:rsidRDefault="00193D44" w:rsidP="0056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Какие могут быть применены меры административного взыскания для недобросовестных операторов (показывают с рекламой) без исключения телепрограммы  из списка разрешенных.</w:t>
            </w:r>
          </w:p>
        </w:tc>
        <w:tc>
          <w:tcPr>
            <w:tcW w:w="5812" w:type="dxa"/>
          </w:tcPr>
          <w:p w:rsidR="00193D44" w:rsidRPr="00673FC3" w:rsidRDefault="00500520" w:rsidP="005642C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В соответствии с положениями Кодекса Республики Беларусь об административных правонарушениях административная ответственность за распространение в эфире иностранных телепрограмм рекламы не предусмотрена.</w:t>
            </w:r>
          </w:p>
        </w:tc>
        <w:tc>
          <w:tcPr>
            <w:tcW w:w="2629" w:type="dxa"/>
          </w:tcPr>
          <w:p w:rsidR="00193D44" w:rsidRDefault="00500520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Мининформ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РБ</w:t>
            </w:r>
          </w:p>
        </w:tc>
      </w:tr>
      <w:tr w:rsidR="00193D44" w:rsidTr="00DC5EDB">
        <w:trPr>
          <w:trHeight w:val="195"/>
        </w:trPr>
        <w:tc>
          <w:tcPr>
            <w:tcW w:w="675" w:type="dxa"/>
          </w:tcPr>
          <w:p w:rsidR="00193D44" w:rsidRPr="00673FC3" w:rsidRDefault="00673FC3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73FC3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670" w:type="dxa"/>
          </w:tcPr>
          <w:p w:rsidR="00193D44" w:rsidRPr="00673FC3" w:rsidRDefault="00193D44" w:rsidP="0056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Будет ли считаться коммерческой звуковая реклама без прерывания текущей трансляции телепрограммы.</w:t>
            </w:r>
          </w:p>
        </w:tc>
        <w:tc>
          <w:tcPr>
            <w:tcW w:w="5812" w:type="dxa"/>
          </w:tcPr>
          <w:p w:rsidR="00E44A66" w:rsidRPr="00673FC3" w:rsidRDefault="00E44A66" w:rsidP="005642C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Закон № 225-3 регулирует требования к рекламе, в том числе социальной рекламе (понятие «коммерческая реклама» в Законе № 225-3 не содержится).</w:t>
            </w:r>
          </w:p>
          <w:p w:rsidR="00E44A66" w:rsidRPr="00673FC3" w:rsidRDefault="00E44A66" w:rsidP="005642CD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В силу пунктов 2 и 6 статьи 11 Закона № 225-3 телевизионная реклама может размещаться (распространяться) не только путем прерывания передачи рекламой, но и путем совмещения передачи с рекламой (в виде наложений, в том числе способом «бегущей строки», с использованием </w:t>
            </w:r>
            <w:proofErr w:type="spellStart"/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инфографики</w:t>
            </w:r>
            <w:proofErr w:type="spellEnd"/>
            <w:r w:rsidRPr="00673FC3">
              <w:rPr>
                <w:color w:val="000000"/>
                <w:sz w:val="28"/>
                <w:szCs w:val="28"/>
                <w:lang w:eastAsia="ru-RU" w:bidi="ru-RU"/>
              </w:rPr>
              <w:t>, всплывающих логотипов, звуковой рекламы без прерывания трансляции телепрограммы и пр.).</w:t>
            </w:r>
          </w:p>
          <w:p w:rsidR="00193D44" w:rsidRPr="00673FC3" w:rsidRDefault="00E44A66" w:rsidP="00DF1C27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Реклама,</w:t>
            </w:r>
            <w:r w:rsidR="00DF1C27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размещаемая (распространяемая) путем совмещения передачи с рекламой, регулируется Законом № 225-3 таким же образом, как и реклама, размещаемая (распространяемая) путем прерывания передачи рекламой.</w:t>
            </w:r>
          </w:p>
        </w:tc>
        <w:tc>
          <w:tcPr>
            <w:tcW w:w="2629" w:type="dxa"/>
          </w:tcPr>
          <w:p w:rsidR="00193D44" w:rsidRDefault="00E44A66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МАРТ РБ</w:t>
            </w:r>
          </w:p>
        </w:tc>
      </w:tr>
      <w:tr w:rsidR="00193D44" w:rsidTr="00DC5EDB">
        <w:trPr>
          <w:trHeight w:val="195"/>
        </w:trPr>
        <w:tc>
          <w:tcPr>
            <w:tcW w:w="675" w:type="dxa"/>
          </w:tcPr>
          <w:p w:rsidR="00193D44" w:rsidRDefault="00193D44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9</w:t>
            </w:r>
          </w:p>
        </w:tc>
        <w:tc>
          <w:tcPr>
            <w:tcW w:w="5670" w:type="dxa"/>
          </w:tcPr>
          <w:p w:rsidR="00193D44" w:rsidRPr="00673FC3" w:rsidRDefault="00193D44" w:rsidP="0056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Будут ли определены особые требования к замене рекламы на социальную рекламу, будет ли требование замены обязательным для исполнения и каким нормативно-правовым актом эти требования будут определяться.</w:t>
            </w:r>
          </w:p>
        </w:tc>
        <w:tc>
          <w:tcPr>
            <w:tcW w:w="5812" w:type="dxa"/>
          </w:tcPr>
          <w:p w:rsidR="00E44A66" w:rsidRPr="00673FC3" w:rsidRDefault="00E44A66" w:rsidP="005642C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Требование о запрете рекламы в продукции иностранных телевизионных СМИ не распространяется на рекламу, предусмотренную частью второй пункта 8</w:t>
            </w:r>
            <w:r w:rsidRPr="00673FC3">
              <w:rPr>
                <w:color w:val="000000"/>
                <w:sz w:val="28"/>
                <w:szCs w:val="28"/>
                <w:vertAlign w:val="superscript"/>
                <w:lang w:eastAsia="ru-RU" w:bidi="ru-RU"/>
              </w:rPr>
              <w:t>1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 статьи 11 Закона №225-3, в том числе на социальную рекламу, качество которой признано Межведомственным советом по рекламе надлежащим (абзац четвертый части второй пункта 8</w:t>
            </w:r>
            <w:r w:rsidRPr="00673FC3">
              <w:rPr>
                <w:color w:val="000000"/>
                <w:sz w:val="28"/>
                <w:szCs w:val="28"/>
                <w:vertAlign w:val="superscript"/>
                <w:lang w:eastAsia="ru-RU" w:bidi="ru-RU"/>
              </w:rPr>
              <w:t>1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 статьи 11 Закона № 225-3).</w:t>
            </w:r>
          </w:p>
          <w:p w:rsidR="00E44A66" w:rsidRPr="00673FC3" w:rsidRDefault="00E44A66" w:rsidP="00F14011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Из формулировки абзаца четвертого части второй пункта 8 статьи 11 Закона № 225-3 не следует, что замена рекламы в продукции иностранного телевизионного СМИ на социальную рекламу является обязательной.</w:t>
            </w:r>
          </w:p>
          <w:p w:rsidR="001E4BED" w:rsidRDefault="00E44A66" w:rsidP="00DF1C27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Осуществление такой замены является правом распространителя (а не его обязанностью), направленным на решение проблемы, связанной с необходимостью заполнения пауз, возникающих в связи с исключением рекламы (за исключением рекламы, предусмотренной частью второй пункта 8</w:t>
            </w:r>
            <w:r w:rsidRPr="00673FC3">
              <w:rPr>
                <w:color w:val="000000"/>
                <w:sz w:val="28"/>
                <w:szCs w:val="28"/>
                <w:vertAlign w:val="superscript"/>
                <w:lang w:eastAsia="ru-RU" w:bidi="ru-RU"/>
              </w:rPr>
              <w:t>1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 статьи 11 Закона №225-3) из продукции иностранного телевизионного СМИ.</w:t>
            </w:r>
          </w:p>
          <w:p w:rsidR="00DF1C27" w:rsidRPr="00673FC3" w:rsidRDefault="00DF1C27" w:rsidP="00DF1C27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193D44" w:rsidRDefault="00E44A66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 РБ</w:t>
            </w:r>
          </w:p>
        </w:tc>
      </w:tr>
      <w:tr w:rsidR="00193D44" w:rsidTr="00DC5EDB">
        <w:trPr>
          <w:trHeight w:val="210"/>
        </w:trPr>
        <w:tc>
          <w:tcPr>
            <w:tcW w:w="675" w:type="dxa"/>
          </w:tcPr>
          <w:p w:rsidR="00193D44" w:rsidRDefault="00193D44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10</w:t>
            </w:r>
          </w:p>
        </w:tc>
        <w:tc>
          <w:tcPr>
            <w:tcW w:w="5670" w:type="dxa"/>
          </w:tcPr>
          <w:p w:rsidR="00193D44" w:rsidRPr="00673FC3" w:rsidRDefault="00193D44" w:rsidP="005642CD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Будут ли определены особые требования к заставке, применяемой оператором во время рекламной паузы и каким нормативно-правовым актом.</w:t>
            </w:r>
          </w:p>
        </w:tc>
        <w:tc>
          <w:tcPr>
            <w:tcW w:w="5812" w:type="dxa"/>
          </w:tcPr>
          <w:p w:rsidR="00E44A66" w:rsidRPr="00673FC3" w:rsidRDefault="00E44A66" w:rsidP="005642C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Вопрос о способах заполнения пауз, возникающих в связи с исключением рекламы из продукции иностранного телевизионного СМИ (в случае, если реклама не заменена социальной рекламой, качество которой признано Межведомственным советом по рекламе надлежащим), не является предметом регулирования Закона</w:t>
            </w:r>
            <w:r w:rsidR="00673FC3"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№ 225-3.</w:t>
            </w:r>
          </w:p>
          <w:p w:rsidR="00193D44" w:rsidRPr="00673FC3" w:rsidRDefault="00E44A66" w:rsidP="00F14011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Полагаем, что распространитель вправе самостоятельно определить,</w:t>
            </w:r>
            <w:r w:rsidR="00673FC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каким способом (с использованием заставки, не имеющей признаков</w:t>
            </w:r>
            <w:r w:rsidR="00673FC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рекламы, или др.) может быть осуществлено заполнение таких пауз, если</w:t>
            </w:r>
            <w:r w:rsidR="00673FC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иные требования не будут установлены законодательством (в настоящее</w:t>
            </w:r>
            <w:r w:rsidR="00673FC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время установление таких требований в законодательстве о рекламе</w:t>
            </w:r>
            <w:r w:rsidR="00673FC3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не планируется).</w:t>
            </w:r>
          </w:p>
        </w:tc>
        <w:tc>
          <w:tcPr>
            <w:tcW w:w="2629" w:type="dxa"/>
          </w:tcPr>
          <w:p w:rsidR="00193D44" w:rsidRDefault="00673FC3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МАРТ РБ</w:t>
            </w:r>
          </w:p>
        </w:tc>
      </w:tr>
      <w:tr w:rsidR="00193D44" w:rsidTr="00DC5EDB">
        <w:trPr>
          <w:trHeight w:val="165"/>
        </w:trPr>
        <w:tc>
          <w:tcPr>
            <w:tcW w:w="675" w:type="dxa"/>
          </w:tcPr>
          <w:p w:rsidR="00193D44" w:rsidRDefault="00193D44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5670" w:type="dxa"/>
          </w:tcPr>
          <w:p w:rsidR="00193D44" w:rsidRPr="00673FC3" w:rsidRDefault="00193D44" w:rsidP="0056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Как и какими силами будет осуществляться мониторинг телепрограмм в сети распространителя и каким нормативно-правовым актом это будет определяться.</w:t>
            </w:r>
          </w:p>
        </w:tc>
        <w:tc>
          <w:tcPr>
            <w:tcW w:w="5812" w:type="dxa"/>
          </w:tcPr>
          <w:p w:rsidR="00193D44" w:rsidRPr="00673FC3" w:rsidRDefault="00500520" w:rsidP="005642C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Мониторинг массовой информации осуществляется Министерством информации в рамках возложенных на него полномочий и в соответствии с Законом о СМИ, в целях реализации которых используются как внутренние резервы министерства, так и иные, предоставленные министерству законом, в том числе технические, возможности.</w:t>
            </w:r>
          </w:p>
        </w:tc>
        <w:tc>
          <w:tcPr>
            <w:tcW w:w="2629" w:type="dxa"/>
          </w:tcPr>
          <w:p w:rsidR="00193D44" w:rsidRDefault="00500520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Мининформ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РБ</w:t>
            </w:r>
          </w:p>
        </w:tc>
      </w:tr>
      <w:tr w:rsidR="00193D44" w:rsidTr="00DC5EDB">
        <w:trPr>
          <w:trHeight w:val="142"/>
        </w:trPr>
        <w:tc>
          <w:tcPr>
            <w:tcW w:w="675" w:type="dxa"/>
          </w:tcPr>
          <w:p w:rsidR="00193D44" w:rsidRDefault="00193D44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5670" w:type="dxa"/>
          </w:tcPr>
          <w:p w:rsidR="00193D44" w:rsidRPr="00673FC3" w:rsidRDefault="00193D44" w:rsidP="0056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FC3">
              <w:rPr>
                <w:rFonts w:ascii="Times New Roman" w:hAnsi="Times New Roman" w:cs="Times New Roman"/>
                <w:sz w:val="28"/>
                <w:szCs w:val="28"/>
              </w:rPr>
              <w:t>Когда будут  разработаны необходимые нормативно-правовые акты по разъяснению и практическому применению норм Закона Республики Беларусь «О рекламе».</w:t>
            </w:r>
          </w:p>
        </w:tc>
        <w:tc>
          <w:tcPr>
            <w:tcW w:w="5812" w:type="dxa"/>
          </w:tcPr>
          <w:p w:rsidR="00673FC3" w:rsidRDefault="00673FC3" w:rsidP="005642CD">
            <w:pPr>
              <w:pStyle w:val="20"/>
              <w:shd w:val="clear" w:color="auto" w:fill="auto"/>
              <w:spacing w:before="120" w:after="0" w:line="240" w:lineRule="auto"/>
              <w:ind w:firstLine="709"/>
              <w:jc w:val="both"/>
              <w:rPr>
                <w:color w:val="000000"/>
                <w:sz w:val="28"/>
                <w:szCs w:val="28"/>
                <w:lang w:eastAsia="ru-RU" w:bidi="ru-RU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В силу пункта 2 статьи 69 Закона Республики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Беларусь от 17 июля 2018 г. № 130-3 «О нормативных правовых актах»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МАРТ вправе при необходимости (в связи с поступлением обращений,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 xml:space="preserve">получением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информации из других источников о проблемах в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применении Закона № 225-3, инициативно) подготавливать письменные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разъяснения по применению Закона № 225-3.</w:t>
            </w:r>
          </w:p>
          <w:p w:rsidR="00673FC3" w:rsidRPr="00673FC3" w:rsidRDefault="00673FC3" w:rsidP="00673FC3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Дача таких письменных разъяснений по обращениям граждан и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юридических лиц осуществляется в порядке, предусмотренном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законодательством об обращениях граждан и юридических лиц.</w:t>
            </w:r>
          </w:p>
          <w:p w:rsidR="00193D44" w:rsidRPr="00673FC3" w:rsidRDefault="00673FC3" w:rsidP="00673FC3">
            <w:pPr>
              <w:pStyle w:val="20"/>
              <w:shd w:val="clear" w:color="auto" w:fill="auto"/>
              <w:spacing w:before="0" w:after="0"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Настоящий ответ может быть обжалован в порядке,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предусмотренном статьей 20 Закона Республики Беларусь от 18 июля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73FC3">
              <w:rPr>
                <w:color w:val="000000"/>
                <w:sz w:val="28"/>
                <w:szCs w:val="28"/>
                <w:lang w:eastAsia="ru-RU" w:bidi="ru-RU"/>
              </w:rPr>
              <w:t>2011 г. № 300-3 «Об обращениях граждан и юридических лиц».</w:t>
            </w:r>
          </w:p>
        </w:tc>
        <w:tc>
          <w:tcPr>
            <w:tcW w:w="2629" w:type="dxa"/>
          </w:tcPr>
          <w:p w:rsidR="00193D44" w:rsidRDefault="00673FC3" w:rsidP="005642C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МАРТ РБ</w:t>
            </w:r>
          </w:p>
        </w:tc>
      </w:tr>
    </w:tbl>
    <w:p w:rsidR="00193D44" w:rsidRDefault="00193D44" w:rsidP="00193D44">
      <w:pPr>
        <w:jc w:val="center"/>
        <w:rPr>
          <w:rFonts w:ascii="Times New Roman" w:hAnsi="Times New Roman" w:cs="Times New Roman"/>
          <w:b/>
          <w:sz w:val="28"/>
        </w:rPr>
      </w:pPr>
    </w:p>
    <w:p w:rsidR="005642CD" w:rsidRPr="00666804" w:rsidRDefault="005642CD" w:rsidP="0066680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Примечание: </w:t>
      </w:r>
      <w:r w:rsidRPr="00666804">
        <w:rPr>
          <w:rFonts w:ascii="Times New Roman" w:hAnsi="Times New Roman" w:cs="Times New Roman"/>
          <w:sz w:val="28"/>
        </w:rPr>
        <w:t xml:space="preserve">данная таблица подготовлена </w:t>
      </w:r>
      <w:r w:rsidR="00666804">
        <w:rPr>
          <w:rFonts w:ascii="Times New Roman" w:hAnsi="Times New Roman" w:cs="Times New Roman"/>
          <w:sz w:val="28"/>
        </w:rPr>
        <w:t>на основании и в соответствии с официальными ответами</w:t>
      </w:r>
      <w:r w:rsidRPr="00666804">
        <w:rPr>
          <w:rFonts w:ascii="Times New Roman" w:hAnsi="Times New Roman" w:cs="Times New Roman"/>
          <w:sz w:val="28"/>
        </w:rPr>
        <w:t xml:space="preserve"> МАРТ РБ (</w:t>
      </w:r>
      <w:r w:rsidR="00666804" w:rsidRPr="00666804">
        <w:rPr>
          <w:rFonts w:ascii="Times New Roman" w:hAnsi="Times New Roman" w:cs="Times New Roman"/>
          <w:sz w:val="28"/>
        </w:rPr>
        <w:t>письмо от 1.09.2021 г. №</w:t>
      </w:r>
      <w:bookmarkStart w:id="0" w:name="_GoBack"/>
      <w:bookmarkEnd w:id="0"/>
      <w:r w:rsidR="00666804" w:rsidRPr="00666804">
        <w:rPr>
          <w:rFonts w:ascii="Times New Roman" w:hAnsi="Times New Roman" w:cs="Times New Roman"/>
          <w:sz w:val="28"/>
        </w:rPr>
        <w:t>10-22/962К</w:t>
      </w:r>
      <w:r w:rsidRPr="00666804">
        <w:rPr>
          <w:rFonts w:ascii="Times New Roman" w:hAnsi="Times New Roman" w:cs="Times New Roman"/>
          <w:sz w:val="28"/>
        </w:rPr>
        <w:t xml:space="preserve">) и </w:t>
      </w:r>
      <w:proofErr w:type="spellStart"/>
      <w:r w:rsidRPr="00666804">
        <w:rPr>
          <w:rFonts w:ascii="Times New Roman" w:hAnsi="Times New Roman" w:cs="Times New Roman"/>
          <w:sz w:val="28"/>
        </w:rPr>
        <w:t>Миниформ</w:t>
      </w:r>
      <w:proofErr w:type="spellEnd"/>
      <w:r w:rsidRPr="00666804">
        <w:rPr>
          <w:rFonts w:ascii="Times New Roman" w:hAnsi="Times New Roman" w:cs="Times New Roman"/>
          <w:sz w:val="28"/>
        </w:rPr>
        <w:t xml:space="preserve"> РБ</w:t>
      </w:r>
      <w:r w:rsidR="00666804" w:rsidRPr="00666804">
        <w:rPr>
          <w:rFonts w:ascii="Times New Roman" w:hAnsi="Times New Roman" w:cs="Times New Roman"/>
          <w:sz w:val="28"/>
        </w:rPr>
        <w:t xml:space="preserve"> (письмо от 11.10.2021 г. №08-09/2473)</w:t>
      </w:r>
      <w:r w:rsidR="00666804">
        <w:rPr>
          <w:rFonts w:ascii="Times New Roman" w:hAnsi="Times New Roman" w:cs="Times New Roman"/>
          <w:sz w:val="28"/>
        </w:rPr>
        <w:t>.</w:t>
      </w:r>
    </w:p>
    <w:sectPr w:rsidR="005642CD" w:rsidRPr="00666804" w:rsidSect="00673FC3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44"/>
    <w:rsid w:val="00193D44"/>
    <w:rsid w:val="001E4BED"/>
    <w:rsid w:val="00500520"/>
    <w:rsid w:val="005642CD"/>
    <w:rsid w:val="00666804"/>
    <w:rsid w:val="00673FC3"/>
    <w:rsid w:val="007478CA"/>
    <w:rsid w:val="00DC5EDB"/>
    <w:rsid w:val="00DF1C27"/>
    <w:rsid w:val="00E44A66"/>
    <w:rsid w:val="00F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9A87"/>
  <w15:docId w15:val="{159F8490-0BEA-45F8-934A-3BDA62C2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C5ED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5EDB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446A-B8E6-42FB-B224-02228685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Myastoffsky</cp:lastModifiedBy>
  <cp:revision>4</cp:revision>
  <dcterms:created xsi:type="dcterms:W3CDTF">2021-10-26T07:53:00Z</dcterms:created>
  <dcterms:modified xsi:type="dcterms:W3CDTF">2021-11-03T09:39:00Z</dcterms:modified>
</cp:coreProperties>
</file>